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D6AAD" w14:textId="6DC13F58" w:rsidR="00594104" w:rsidRDefault="00B3141D">
      <w:pPr>
        <w:rPr>
          <w:rFonts w:ascii="Source Sans Pro" w:eastAsia="Times New Roman" w:hAnsi="Source Sans Pro" w:cs="Times New Roman"/>
          <w:color w:val="303030"/>
          <w:sz w:val="20"/>
          <w:szCs w:val="20"/>
          <w:shd w:val="clear" w:color="auto" w:fill="FFFFFF"/>
        </w:rPr>
      </w:pPr>
      <w:r>
        <w:rPr>
          <w:noProof/>
        </w:rPr>
        <mc:AlternateContent>
          <mc:Choice Requires="wps">
            <w:drawing>
              <wp:inline distT="0" distB="0" distL="0" distR="0" wp14:anchorId="4009A1F1" wp14:editId="5C492DA8">
                <wp:extent cx="7000875" cy="52578"/>
                <wp:effectExtent l="0" t="0" r="9525" b="5080"/>
                <wp:docPr id="1" name="Shape1"/>
                <wp:cNvGraphicFramePr/>
                <a:graphic xmlns:a="http://schemas.openxmlformats.org/drawingml/2006/main">
                  <a:graphicData uri="http://schemas.microsoft.com/office/word/2010/wordprocessingShape">
                    <wps:wsp>
                      <wps:cNvSpPr/>
                      <wps:spPr>
                        <a:xfrm>
                          <a:off x="0" y="0"/>
                          <a:ext cx="7000875" cy="52578"/>
                        </a:xfrm>
                        <a:prstGeom prst="rect">
                          <a:avLst/>
                        </a:prstGeom>
                        <a:solidFill>
                          <a:schemeClr val="tx1">
                            <a:lumMod val="75000"/>
                            <a:lumOff val="25000"/>
                          </a:schemeClr>
                        </a:solidFill>
                        <a:ln>
                          <a:noFill/>
                        </a:ln>
                      </wps:spPr>
                      <wps:style>
                        <a:lnRef idx="2">
                          <a:schemeClr val="dk1">
                            <a:shade val="50000"/>
                          </a:schemeClr>
                        </a:lnRef>
                        <a:fillRef idx="1">
                          <a:schemeClr val="dk1"/>
                        </a:fillRef>
                        <a:effectRef idx="0">
                          <a:schemeClr val="dk1"/>
                        </a:effectRef>
                        <a:fontRef idx="minor"/>
                      </wps:style>
                      <wps:bodyPr/>
                    </wps:wsp>
                  </a:graphicData>
                </a:graphic>
              </wp:inline>
            </w:drawing>
          </mc:Choice>
          <mc:Fallback>
            <w:pict>
              <v:rect w14:anchorId="22BE7DB8" id="Shape1" o:spid="_x0000_s1026" style="width:551.2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" fillcolor="#404040 [2429]" stroked="f" strokeweight="1pt">
                <w10:anchorlock/>
              </v:rect>
            </w:pict>
          </mc:Fallback>
        </mc:AlternateContent>
      </w:r>
    </w:p>
    <w:p w14:paraId="2F8155E8" w14:textId="77777777" w:rsidR="007F2523" w:rsidRPr="007F2523" w:rsidRDefault="007F2523">
      <w:pPr>
        <w:rPr>
          <w:rFonts w:ascii="Source Sans Pro" w:eastAsia="Times New Roman" w:hAnsi="Source Sans Pro" w:cs="Times New Roman"/>
          <w:color w:val="303030"/>
          <w:sz w:val="18"/>
          <w:szCs w:val="18"/>
          <w:shd w:val="clear" w:color="auto" w:fill="FFFFFF"/>
        </w:rPr>
      </w:pPr>
    </w:p>
    <w:p w14:paraId="64B76B12" w14:textId="234A792F" w:rsidR="009D1466" w:rsidRDefault="00B3141D" w:rsidP="002960D1">
      <w:pPr>
        <w:rPr>
          <w:rFonts w:ascii="Source Sans Pro" w:hAnsi="Source Sans Pro" w:cstheme="minorHAnsi"/>
        </w:rPr>
      </w:pPr>
      <w:r>
        <w:rPr>
          <w:noProof/>
        </w:rPr>
        <w:drawing>
          <wp:anchor distT="0" distB="0" distL="114300" distR="114300" simplePos="0" relativeHeight="251658240" behindDoc="0" locked="0" layoutInCell="1" allowOverlap="1" wp14:anchorId="4271F835" wp14:editId="598EE007">
            <wp:simplePos x="0" y="0"/>
            <wp:positionH relativeFrom="margin">
              <wp:posOffset>3612267</wp:posOffset>
            </wp:positionH>
            <wp:positionV relativeFrom="paragraph">
              <wp:posOffset>5079</wp:posOffset>
            </wp:positionV>
            <wp:extent cx="3241923" cy="504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4281" cy="505192"/>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02897D2" wp14:editId="01019B80">
            <wp:extent cx="949751" cy="1096772"/>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9"/>
                    <a:stretch>
                      <a:fillRect/>
                    </a:stretch>
                  </pic:blipFill>
                  <pic:spPr>
                    <a:xfrm>
                      <a:off x="0" y="0"/>
                      <a:ext cx="956087" cy="1104089"/>
                    </a:xfrm>
                    <a:prstGeom prst="rect">
                      <a:avLst/>
                    </a:prstGeom>
                  </pic:spPr>
                </pic:pic>
              </a:graphicData>
            </a:graphic>
          </wp:inline>
        </w:drawing>
      </w:r>
      <w:r w:rsidR="0039658B">
        <w:rPr>
          <w:rFonts w:ascii="Source Sans Pro" w:eastAsia="Times New Roman" w:hAnsi="Source Sans Pro" w:cs="Times New Roman"/>
          <w:color w:val="303030"/>
          <w:sz w:val="22"/>
          <w:szCs w:val="22"/>
          <w:shd w:val="clear" w:color="auto" w:fill="FFFFFF"/>
        </w:rPr>
        <w:br/>
      </w:r>
      <w:r w:rsidRPr="00D72293">
        <w:rPr>
          <w:rFonts w:ascii="Source Sans Pro" w:hAnsi="Source Sans Pro" w:cstheme="minorHAnsi"/>
        </w:rPr>
        <w:t>Derek</w:t>
      </w:r>
      <w:r w:rsidR="00322D74" w:rsidRPr="00D72293">
        <w:rPr>
          <w:rFonts w:ascii="Source Sans Pro" w:hAnsi="Source Sans Pro" w:cstheme="minorHAnsi"/>
        </w:rPr>
        <w:t xml:space="preserve"> A.</w:t>
      </w:r>
      <w:r w:rsidRPr="00D72293">
        <w:rPr>
          <w:rFonts w:ascii="Source Sans Pro" w:hAnsi="Source Sans Pro" w:cstheme="minorHAnsi"/>
        </w:rPr>
        <w:t xml:space="preserve"> Bergfeld | Wealth Manager</w:t>
      </w:r>
      <w:r w:rsidR="00510BE6" w:rsidRPr="00D72293">
        <w:rPr>
          <w:rFonts w:ascii="Source Sans Pro" w:hAnsi="Source Sans Pro" w:cstheme="minorHAnsi"/>
        </w:rPr>
        <w:t xml:space="preserve"> </w:t>
      </w:r>
      <w:r w:rsidR="00510BE6" w:rsidRPr="00D72293">
        <w:rPr>
          <w:rFonts w:ascii="Source Sans Pro" w:hAnsi="Source Sans Pro" w:cstheme="minorHAnsi"/>
        </w:rPr>
        <w:tab/>
      </w:r>
      <w:r w:rsidR="00510BE6" w:rsidRPr="00D72293">
        <w:rPr>
          <w:rFonts w:ascii="Source Sans Pro" w:hAnsi="Source Sans Pro" w:cstheme="minorHAnsi"/>
        </w:rPr>
        <w:tab/>
      </w:r>
      <w:r w:rsidR="00510BE6" w:rsidRPr="00D72293">
        <w:rPr>
          <w:rFonts w:ascii="Source Sans Pro" w:hAnsi="Source Sans Pro" w:cstheme="minorHAnsi"/>
        </w:rPr>
        <w:tab/>
      </w:r>
      <w:r w:rsidR="00510BE6" w:rsidRPr="00D72293">
        <w:rPr>
          <w:rFonts w:ascii="Source Sans Pro" w:hAnsi="Source Sans Pro" w:cstheme="minorHAnsi"/>
        </w:rPr>
        <w:tab/>
      </w:r>
      <w:r w:rsidR="00510BE6" w:rsidRPr="00D72293">
        <w:rPr>
          <w:rFonts w:ascii="Source Sans Pro" w:hAnsi="Source Sans Pro" w:cstheme="minorHAnsi"/>
        </w:rPr>
        <w:tab/>
      </w:r>
      <w:r w:rsidR="00510BE6" w:rsidRPr="00D72293">
        <w:rPr>
          <w:rFonts w:ascii="Source Sans Pro" w:hAnsi="Source Sans Pro" w:cstheme="minorHAnsi"/>
        </w:rPr>
        <w:tab/>
      </w:r>
      <w:r w:rsidR="00510BE6" w:rsidRPr="00D72293">
        <w:rPr>
          <w:rFonts w:ascii="Source Sans Pro" w:hAnsi="Source Sans Pro" w:cstheme="minorHAnsi"/>
        </w:rPr>
        <w:tab/>
      </w:r>
      <w:r w:rsidR="008D0924" w:rsidRPr="00D72293">
        <w:rPr>
          <w:rFonts w:ascii="Source Sans Pro" w:hAnsi="Source Sans Pro" w:cstheme="minorHAnsi"/>
        </w:rPr>
        <w:t xml:space="preserve">        </w:t>
      </w:r>
      <w:r w:rsidR="00322D74" w:rsidRPr="00D72293">
        <w:rPr>
          <w:rFonts w:ascii="Source Sans Pro" w:hAnsi="Source Sans Pro" w:cstheme="minorHAnsi"/>
        </w:rPr>
        <w:t xml:space="preserve">   </w:t>
      </w:r>
      <w:r w:rsidR="00D20639" w:rsidRPr="00D72293">
        <w:rPr>
          <w:rFonts w:ascii="Source Sans Pro" w:hAnsi="Source Sans Pro" w:cstheme="minorHAnsi"/>
        </w:rPr>
        <w:t xml:space="preserve">            </w:t>
      </w:r>
      <w:r w:rsidR="00B732FD">
        <w:rPr>
          <w:rFonts w:ascii="Source Sans Pro" w:hAnsi="Source Sans Pro" w:cstheme="minorHAnsi"/>
        </w:rPr>
        <w:t xml:space="preserve">        </w:t>
      </w:r>
      <w:r w:rsidR="00D20639" w:rsidRPr="00D72293">
        <w:rPr>
          <w:rFonts w:ascii="Source Sans Pro" w:hAnsi="Source Sans Pro" w:cstheme="minorHAnsi"/>
        </w:rPr>
        <w:t xml:space="preserve"> </w:t>
      </w:r>
      <w:r w:rsidR="008912E4">
        <w:rPr>
          <w:rFonts w:ascii="Source Sans Pro" w:hAnsi="Source Sans Pro" w:cstheme="minorHAnsi"/>
        </w:rPr>
        <w:t>January</w:t>
      </w:r>
      <w:r w:rsidR="00E65144">
        <w:rPr>
          <w:rFonts w:ascii="Source Sans Pro" w:hAnsi="Source Sans Pro" w:cstheme="minorHAnsi"/>
        </w:rPr>
        <w:t xml:space="preserve"> </w:t>
      </w:r>
      <w:r w:rsidR="008912E4">
        <w:rPr>
          <w:rFonts w:ascii="Source Sans Pro" w:hAnsi="Source Sans Pro" w:cstheme="minorHAnsi"/>
        </w:rPr>
        <w:t>5</w:t>
      </w:r>
      <w:r w:rsidR="00510BE6" w:rsidRPr="00D72293">
        <w:rPr>
          <w:rFonts w:ascii="Source Sans Pro" w:hAnsi="Source Sans Pro" w:cstheme="minorHAnsi"/>
        </w:rPr>
        <w:t>, 202</w:t>
      </w:r>
      <w:r w:rsidR="007F2523">
        <w:rPr>
          <w:rFonts w:ascii="Source Sans Pro" w:hAnsi="Source Sans Pro" w:cstheme="minorHAnsi"/>
        </w:rPr>
        <w:t>6</w:t>
      </w:r>
    </w:p>
    <w:p w14:paraId="04F3A7F1" w14:textId="4CC1CE84" w:rsidR="007F2523" w:rsidRPr="007F2523" w:rsidRDefault="007F2523" w:rsidP="002960D1">
      <w:pPr>
        <w:rPr>
          <w:rFonts w:ascii="Source Sans Pro" w:eastAsia="Times New Roman" w:hAnsi="Source Sans Pro" w:cs="Times New Roman"/>
          <w:color w:val="303030"/>
          <w:sz w:val="16"/>
          <w:szCs w:val="16"/>
          <w:shd w:val="clear" w:color="auto" w:fill="FFFFFF"/>
        </w:rPr>
      </w:pPr>
      <w:r>
        <w:rPr>
          <w:noProof/>
        </w:rPr>
        <mc:AlternateContent>
          <mc:Choice Requires="wps">
            <w:drawing>
              <wp:anchor distT="0" distB="0" distL="114300" distR="114300" simplePos="0" relativeHeight="251662336" behindDoc="0" locked="0" layoutInCell="1" allowOverlap="1" wp14:anchorId="49A59C97" wp14:editId="2240B565">
                <wp:simplePos x="0" y="0"/>
                <wp:positionH relativeFrom="margin">
                  <wp:align>left</wp:align>
                </wp:positionH>
                <wp:positionV relativeFrom="page">
                  <wp:posOffset>2319020</wp:posOffset>
                </wp:positionV>
                <wp:extent cx="7000875" cy="52070"/>
                <wp:effectExtent l="0" t="0" r="9525" b="5080"/>
                <wp:wrapNone/>
                <wp:docPr id="2005705864" name="Shape1"/>
                <wp:cNvGraphicFramePr/>
                <a:graphic xmlns:a="http://schemas.openxmlformats.org/drawingml/2006/main">
                  <a:graphicData uri="http://schemas.microsoft.com/office/word/2010/wordprocessingShape">
                    <wps:wsp>
                      <wps:cNvSpPr/>
                      <wps:spPr>
                        <a:xfrm>
                          <a:off x="0" y="0"/>
                          <a:ext cx="7000875" cy="52070"/>
                        </a:xfrm>
                        <a:prstGeom prst="rect">
                          <a:avLst/>
                        </a:prstGeom>
                        <a:solidFill>
                          <a:schemeClr val="tx1">
                            <a:lumMod val="75000"/>
                            <a:lumOff val="25000"/>
                          </a:schemeClr>
                        </a:solidFill>
                        <a:ln>
                          <a:noFill/>
                        </a:ln>
                      </wps:spPr>
                      <wps:style>
                        <a:lnRef idx="2">
                          <a:schemeClr val="dk1">
                            <a:shade val="50000"/>
                          </a:schemeClr>
                        </a:lnRef>
                        <a:fillRef idx="1">
                          <a:schemeClr val="dk1"/>
                        </a:fillRef>
                        <a:effectRef idx="0">
                          <a:schemeClr val="dk1"/>
                        </a:effectRef>
                        <a:fontRef idx="minor"/>
                      </wps:style>
                      <wps:bodyPr/>
                    </wps:wsp>
                  </a:graphicData>
                </a:graphic>
              </wp:anchor>
            </w:drawing>
          </mc:Choice>
          <mc:Fallback>
            <w:pict>
              <v:rect w14:anchorId="1F6B874F" id="Shape1" o:spid="_x0000_s1026" style="position:absolute;margin-left:0;margin-top:182.6pt;width:551.25pt;height:4.1pt;z-index:251662336;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" fillcolor="#404040 [2429]" stroked="f" strokeweight="1pt">
                <w10:wrap anchorx="margin" anchory="page"/>
              </v:rect>
            </w:pict>
          </mc:Fallback>
        </mc:AlternateContent>
      </w:r>
    </w:p>
    <w:p w14:paraId="26A87213" w14:textId="7B1B17A1" w:rsidR="009D1466" w:rsidRDefault="002960D1" w:rsidP="002960D1">
      <w:pPr>
        <w:rPr>
          <w:rFonts w:ascii="Source Sans Pro" w:eastAsia="Calibri" w:hAnsi="Source Sans Pro" w:cs="Calibri"/>
          <w:b/>
          <w:sz w:val="22"/>
          <w:szCs w:val="22"/>
        </w:rPr>
      </w:pPr>
      <w:r w:rsidRPr="008912E4">
        <w:rPr>
          <w:rFonts w:ascii="Source Sans Pro" w:eastAsia="Calibri" w:hAnsi="Source Sans Pro" w:cs="Calibri"/>
          <w:noProof/>
          <w:sz w:val="22"/>
          <w:szCs w:val="22"/>
        </w:rPr>
        <w:drawing>
          <wp:anchor distT="0" distB="0" distL="114300" distR="114300" simplePos="0" relativeHeight="251660288" behindDoc="1" locked="0" layoutInCell="1" allowOverlap="1" wp14:anchorId="20446AB7" wp14:editId="0BBDD009">
            <wp:simplePos x="0" y="0"/>
            <wp:positionH relativeFrom="page">
              <wp:posOffset>2656840</wp:posOffset>
            </wp:positionH>
            <wp:positionV relativeFrom="paragraph">
              <wp:posOffset>2137410</wp:posOffset>
            </wp:positionV>
            <wp:extent cx="5018405" cy="3448050"/>
            <wp:effectExtent l="0" t="0" r="0" b="0"/>
            <wp:wrapTight wrapText="bothSides">
              <wp:wrapPolygon edited="0">
                <wp:start x="0" y="0"/>
                <wp:lineTo x="0" y="21481"/>
                <wp:lineTo x="21482" y="21481"/>
                <wp:lineTo x="21482" y="0"/>
                <wp:lineTo x="0" y="0"/>
              </wp:wrapPolygon>
            </wp:wrapTight>
            <wp:docPr id="10628448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00" t="2968" r="5517" b="15619"/>
                    <a:stretch>
                      <a:fillRect/>
                    </a:stretch>
                  </pic:blipFill>
                  <pic:spPr bwMode="auto">
                    <a:xfrm>
                      <a:off x="0" y="0"/>
                      <a:ext cx="5018405" cy="3448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12E4" w:rsidRPr="008912E4">
        <w:rPr>
          <w:rFonts w:ascii="Source Sans Pro" w:eastAsia="Calibri" w:hAnsi="Source Sans Pro" w:cs="Calibri"/>
          <w:sz w:val="22"/>
          <w:szCs w:val="22"/>
        </w:rPr>
        <w:t>2025 was a historically strong year for markets despite the many events that took place along the way. The past year delivered no shortage of headlines</w:t>
      </w:r>
      <w:r w:rsidR="00334E69">
        <w:rPr>
          <w:rFonts w:ascii="Source Sans Pro" w:eastAsia="Calibri" w:hAnsi="Source Sans Pro" w:cs="Calibri"/>
          <w:sz w:val="22"/>
          <w:szCs w:val="22"/>
        </w:rPr>
        <w:t>,</w:t>
      </w:r>
      <w:r w:rsidR="008912E4" w:rsidRPr="008912E4">
        <w:rPr>
          <w:rFonts w:ascii="Source Sans Pro" w:eastAsia="Calibri" w:hAnsi="Source Sans Pro" w:cs="Calibri"/>
          <w:sz w:val="22"/>
          <w:szCs w:val="22"/>
        </w:rPr>
        <w:t xml:space="preserve"> including April's tariff announcements, ongoing developments in artificial intelligence stocks, the passage of the One Big Beautiful Bill Act, and more. Yet through it all, investors are likely happy as U.S. stocks rose to new record highs, international markets outperformed, and bonds continued their rebound. The S&amp;P 500 has now generated double-digit returns in six of the past seven years and has nearly doubled in value since the market bottom in 2022.</w:t>
      </w:r>
      <w:r w:rsidR="008912E4" w:rsidRPr="008912E4">
        <w:rPr>
          <w:rFonts w:ascii="Source Sans Pro" w:eastAsia="Calibri" w:hAnsi="Source Sans Pro" w:cs="Calibri"/>
          <w:sz w:val="22"/>
          <w:szCs w:val="22"/>
        </w:rPr>
        <w:br/>
      </w:r>
      <w:r w:rsidR="008912E4" w:rsidRPr="008912E4">
        <w:rPr>
          <w:rFonts w:ascii="Source Sans Pro" w:eastAsia="Calibri" w:hAnsi="Source Sans Pro" w:cs="Calibri"/>
          <w:sz w:val="22"/>
          <w:szCs w:val="22"/>
        </w:rPr>
        <w:br/>
        <w:t>The past year reinforces the lesson that the best way to weather uncertainty is to remain disciplined and focused on long-term goals. As we look ahead to 2026, understanding what drove markets last year can help investors navigate the challenges and opportunities that lie ahead.</w:t>
      </w:r>
      <w:r w:rsidR="008912E4" w:rsidRPr="008912E4">
        <w:rPr>
          <w:rFonts w:ascii="Source Sans Pro" w:eastAsia="Calibri" w:hAnsi="Source Sans Pro" w:cs="Calibri"/>
          <w:sz w:val="22"/>
          <w:szCs w:val="22"/>
        </w:rPr>
        <w:br/>
      </w:r>
      <w:r w:rsidR="008912E4" w:rsidRPr="008912E4">
        <w:rPr>
          <w:rFonts w:ascii="Source Sans Pro" w:eastAsia="Calibri" w:hAnsi="Source Sans Pro" w:cs="Calibri"/>
          <w:sz w:val="22"/>
          <w:szCs w:val="22"/>
        </w:rPr>
        <w:br/>
      </w:r>
      <w:r w:rsidR="008912E4" w:rsidRPr="008912E4">
        <w:rPr>
          <w:rFonts w:ascii="Source Sans Pro" w:eastAsia="Calibri" w:hAnsi="Source Sans Pro" w:cs="Calibri"/>
          <w:b/>
          <w:sz w:val="22"/>
          <w:szCs w:val="22"/>
        </w:rPr>
        <w:t>Key Market and Economic Drivers in 2025</w:t>
      </w:r>
    </w:p>
    <w:p w14:paraId="60A124E0" w14:textId="50DF6EBF"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The S&amp;P 500 gained 17.9% with dividends in 2025, achieving 39 new all-time highs. The Dow Jones Industrial Average rose 14.9% and the Nasdaq returned 21.2%.</w:t>
      </w:r>
    </w:p>
    <w:p w14:paraId="23BEACA2" w14:textId="18AA68C6"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xml:space="preserve">• The VIX, a measure of stock market volatility, remains low by historical standards, finishing at 14.95 after climbing as high as 52.33 in April. </w:t>
      </w:r>
    </w:p>
    <w:p w14:paraId="11FB6680" w14:textId="4964BAE5"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The Bloomberg U.S. Aggregate Bond Index gained 7.3%, its best performance since 2020. The 10-year Treasury yield ended the year lower at 4.17%, down from 4.57% at the start of the year.</w:t>
      </w:r>
    </w:p>
    <w:p w14:paraId="7497EBC7" w14:textId="010D4045"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International developed markets and emerging markets each gained over 30% in U.S. dollar terms based on the MSCI EAFE Index and MSCI EM Index, respectively.</w:t>
      </w:r>
    </w:p>
    <w:p w14:paraId="4EFB6576" w14:textId="77777777" w:rsidR="008912E4" w:rsidRDefault="008912E4" w:rsidP="002960D1">
      <w:pPr>
        <w:rPr>
          <w:rFonts w:ascii="Source Sans Pro" w:eastAsia="Calibri" w:hAnsi="Source Sans Pro" w:cs="Calibri"/>
          <w:sz w:val="16"/>
          <w:szCs w:val="16"/>
        </w:rPr>
      </w:pPr>
      <w:r w:rsidRPr="008912E4">
        <w:rPr>
          <w:rFonts w:ascii="Source Sans Pro" w:eastAsia="Calibri" w:hAnsi="Source Sans Pro" w:cs="Calibri"/>
          <w:sz w:val="22"/>
          <w:szCs w:val="22"/>
        </w:rPr>
        <w:br/>
        <w:t>• The U.S. dollar index ended the year at 98.32, falling 9.3% from 108.49 at the beginning of the year. The dollar reached a low of 96.63 in September.</w:t>
      </w:r>
    </w:p>
    <w:p w14:paraId="0B7EA39D" w14:textId="030AC385" w:rsid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Bitcoin experienced a decline of about 6.5% from $93,714 to $87,647, after rising as high as $125,260 in October.</w:t>
      </w:r>
    </w:p>
    <w:p w14:paraId="2CF81F6F" w14:textId="77777777" w:rsidR="002960D1" w:rsidRPr="008912E4" w:rsidRDefault="002960D1" w:rsidP="002960D1">
      <w:pPr>
        <w:rPr>
          <w:rFonts w:ascii="Source Sans Pro" w:eastAsia="Calibri" w:hAnsi="Source Sans Pro" w:cs="Calibri"/>
          <w:sz w:val="16"/>
          <w:szCs w:val="16"/>
        </w:rPr>
      </w:pPr>
    </w:p>
    <w:p w14:paraId="67379BF2" w14:textId="127E8253" w:rsidR="007F2523" w:rsidRPr="007F2523" w:rsidRDefault="008912E4" w:rsidP="007F2523">
      <w:pPr>
        <w:rPr>
          <w:rFonts w:ascii="Source Sans Pro" w:eastAsia="Calibri" w:hAnsi="Source Sans Pro" w:cs="Calibri"/>
          <w:sz w:val="22"/>
          <w:szCs w:val="22"/>
        </w:rPr>
      </w:pPr>
      <w:r w:rsidRPr="008912E4">
        <w:rPr>
          <w:rFonts w:ascii="Source Sans Pro" w:eastAsia="Calibri" w:hAnsi="Source Sans Pro" w:cs="Calibri"/>
          <w:sz w:val="22"/>
          <w:szCs w:val="22"/>
        </w:rPr>
        <w:t>• Gold prices rallied throughout the year, finishing at $4,341 per ounce for a 64% gain. Silver prices also rose to $70.60 per ounce from $29.24 at the start of the year.</w:t>
      </w:r>
    </w:p>
    <w:p w14:paraId="31839CF4" w14:textId="7385987B" w:rsidR="002960D1" w:rsidRDefault="008912E4" w:rsidP="002960D1">
      <w:pPr>
        <w:spacing w:after="220"/>
        <w:rPr>
          <w:rFonts w:ascii="Source Sans Pro" w:eastAsia="Calibri" w:hAnsi="Source Sans Pro" w:cs="Calibri"/>
          <w:b/>
          <w:sz w:val="16"/>
          <w:szCs w:val="16"/>
        </w:rPr>
      </w:pPr>
      <w:r w:rsidRPr="008912E4">
        <w:rPr>
          <w:rFonts w:ascii="Source Sans Pro" w:eastAsia="Calibri" w:hAnsi="Source Sans Pro" w:cs="Calibri"/>
          <w:b/>
          <w:sz w:val="22"/>
          <w:szCs w:val="22"/>
        </w:rPr>
        <w:lastRenderedPageBreak/>
        <w:t>Major events in 2025</w:t>
      </w:r>
    </w:p>
    <w:p w14:paraId="480F75B3" w14:textId="77777777" w:rsidR="009D1466" w:rsidRDefault="008912E4" w:rsidP="009D1466">
      <w:pPr>
        <w:rPr>
          <w:rFonts w:ascii="Source Sans Pro" w:eastAsia="Calibri" w:hAnsi="Source Sans Pro" w:cs="Calibri"/>
          <w:sz w:val="22"/>
          <w:szCs w:val="22"/>
        </w:rPr>
      </w:pPr>
      <w:r w:rsidRPr="008912E4">
        <w:rPr>
          <w:rFonts w:ascii="Source Sans Pro" w:eastAsia="Calibri" w:hAnsi="Source Sans Pro" w:cs="Calibri"/>
          <w:sz w:val="22"/>
          <w:szCs w:val="22"/>
        </w:rPr>
        <w:t>Many of the events of the past year were “known unknowns.” This concept was made famous by former Secretary of Defense Donald Rumsfeld, who distinguished "known unknowns" from "unknown unknowns." For investors, this distinction can be helpful since the former are uncertainties we can anticipate. When markets react to these events, investors can be prepared in advance and avoid being caught off guard.</w:t>
      </w:r>
      <w:r w:rsidRPr="008912E4">
        <w:rPr>
          <w:rFonts w:ascii="Source Sans Pro" w:eastAsia="Calibri" w:hAnsi="Source Sans Pro" w:cs="Calibri"/>
          <w:sz w:val="22"/>
          <w:szCs w:val="22"/>
        </w:rPr>
        <w:br/>
      </w:r>
    </w:p>
    <w:p w14:paraId="3CB72290" w14:textId="1ECD6103" w:rsidR="008912E4" w:rsidRPr="009D1466" w:rsidRDefault="008912E4" w:rsidP="009D1466">
      <w:pPr>
        <w:rPr>
          <w:rFonts w:ascii="Source Sans Pro" w:eastAsia="Calibri" w:hAnsi="Source Sans Pro" w:cs="Calibri"/>
          <w:b/>
          <w:sz w:val="20"/>
          <w:szCs w:val="20"/>
        </w:rPr>
      </w:pPr>
      <w:r w:rsidRPr="008912E4">
        <w:rPr>
          <w:rFonts w:ascii="Source Sans Pro" w:eastAsia="Calibri" w:hAnsi="Source Sans Pro" w:cs="Calibri"/>
          <w:sz w:val="22"/>
          <w:szCs w:val="22"/>
        </w:rPr>
        <w:t>Concerns around tariffs, for instance, were very much on investors’ radars ahead of April 2. While this didn’t diminish the market reaction due to the size of these tariffs, it did allow the market to rebound quickly once events played out. Investors also knew the Fed would likely adjust rates once the job market weakened. Many also expected a new tax bill to pass given that Republicans control both houses of Congress.</w:t>
      </w:r>
      <w:r w:rsidRPr="008912E4">
        <w:rPr>
          <w:rFonts w:ascii="Source Sans Pro" w:eastAsia="Calibri" w:hAnsi="Source Sans Pro" w:cs="Calibri"/>
          <w:sz w:val="22"/>
          <w:szCs w:val="22"/>
        </w:rPr>
        <w:br/>
      </w:r>
      <w:r w:rsidRPr="008912E4">
        <w:rPr>
          <w:rFonts w:ascii="Source Sans Pro" w:eastAsia="Calibri" w:hAnsi="Source Sans Pro" w:cs="Calibri"/>
          <w:sz w:val="22"/>
          <w:szCs w:val="22"/>
        </w:rPr>
        <w:br/>
        <w:t>Even concerns around AI, which are perhaps the biggest uncertainty for markets today, have also been at the top of investors’ minds. While the DeepSeek moment in January, when a Chinese AI company showed that models could be created and run more cheaply, was unexpected, the parallels to the dot-com boom and past surges in capital expenditures by large companies are well understood.</w:t>
      </w:r>
    </w:p>
    <w:p w14:paraId="14209F10" w14:textId="23DB5D5B" w:rsidR="008912E4" w:rsidRPr="008912E4" w:rsidRDefault="009D1466" w:rsidP="002960D1">
      <w:pPr>
        <w:rPr>
          <w:rFonts w:ascii="Source Sans Pro" w:eastAsia="Calibri" w:hAnsi="Source Sans Pro" w:cs="Calibri"/>
          <w:sz w:val="22"/>
          <w:szCs w:val="22"/>
        </w:rPr>
      </w:pPr>
      <w:r w:rsidRPr="008912E4">
        <w:rPr>
          <w:rFonts w:ascii="Source Sans Pro" w:eastAsia="Calibri" w:hAnsi="Source Sans Pro" w:cs="Calibri"/>
          <w:noProof/>
          <w:sz w:val="22"/>
          <w:szCs w:val="22"/>
        </w:rPr>
        <w:drawing>
          <wp:anchor distT="0" distB="0" distL="114300" distR="114300" simplePos="0" relativeHeight="251661312" behindDoc="1" locked="0" layoutInCell="1" allowOverlap="1" wp14:anchorId="7BBEAED7" wp14:editId="09153941">
            <wp:simplePos x="0" y="0"/>
            <wp:positionH relativeFrom="margin">
              <wp:posOffset>1827022</wp:posOffset>
            </wp:positionH>
            <wp:positionV relativeFrom="paragraph">
              <wp:posOffset>490220</wp:posOffset>
            </wp:positionV>
            <wp:extent cx="5420995" cy="3747770"/>
            <wp:effectExtent l="0" t="0" r="8255" b="5080"/>
            <wp:wrapTight wrapText="bothSides">
              <wp:wrapPolygon edited="0">
                <wp:start x="0" y="0"/>
                <wp:lineTo x="0" y="21519"/>
                <wp:lineTo x="21557" y="21519"/>
                <wp:lineTo x="21557" y="0"/>
                <wp:lineTo x="0" y="0"/>
              </wp:wrapPolygon>
            </wp:wrapTight>
            <wp:docPr id="9565366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360" t="3718" r="7386" b="15863"/>
                    <a:stretch>
                      <a:fillRect/>
                    </a:stretch>
                  </pic:blipFill>
                  <pic:spPr bwMode="auto">
                    <a:xfrm>
                      <a:off x="0" y="0"/>
                      <a:ext cx="5420995" cy="3747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12E4" w:rsidRPr="008912E4">
        <w:rPr>
          <w:rFonts w:ascii="Source Sans Pro" w:eastAsia="Calibri" w:hAnsi="Source Sans Pro" w:cs="Calibri"/>
          <w:sz w:val="22"/>
          <w:szCs w:val="22"/>
        </w:rPr>
        <w:br/>
        <w:t>To summarize the major market-moving events over the year, here are the top 10:</w:t>
      </w:r>
      <w:r w:rsidR="008912E4" w:rsidRPr="008912E4">
        <w:rPr>
          <w:rFonts w:ascii="Source Sans Pro" w:eastAsia="Calibri" w:hAnsi="Source Sans Pro" w:cs="Calibri"/>
          <w:sz w:val="22"/>
          <w:szCs w:val="22"/>
        </w:rPr>
        <w:br/>
      </w:r>
      <w:r w:rsidR="008912E4" w:rsidRPr="008912E4">
        <w:rPr>
          <w:rFonts w:ascii="Source Sans Pro" w:eastAsia="Calibri" w:hAnsi="Source Sans Pro" w:cs="Calibri"/>
          <w:sz w:val="22"/>
          <w:szCs w:val="22"/>
        </w:rPr>
        <w:br/>
        <w:t xml:space="preserve">• </w:t>
      </w:r>
      <w:r w:rsidR="008912E4" w:rsidRPr="008912E4">
        <w:rPr>
          <w:rFonts w:ascii="Source Sans Pro" w:eastAsia="Calibri" w:hAnsi="Source Sans Pro" w:cs="Calibri"/>
          <w:b/>
          <w:sz w:val="22"/>
          <w:szCs w:val="22"/>
        </w:rPr>
        <w:t>January 20</w:t>
      </w:r>
      <w:r w:rsidR="008912E4" w:rsidRPr="008912E4">
        <w:rPr>
          <w:rFonts w:ascii="Source Sans Pro" w:eastAsia="Calibri" w:hAnsi="Source Sans Pro" w:cs="Calibri"/>
          <w:sz w:val="22"/>
          <w:szCs w:val="22"/>
        </w:rPr>
        <w:t>: President Trump is inaugurated.</w:t>
      </w:r>
    </w:p>
    <w:p w14:paraId="4282EA26" w14:textId="2E3053CC"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xml:space="preserve">• </w:t>
      </w:r>
      <w:r w:rsidRPr="008912E4">
        <w:rPr>
          <w:rFonts w:ascii="Source Sans Pro" w:eastAsia="Calibri" w:hAnsi="Source Sans Pro" w:cs="Calibri"/>
          <w:b/>
          <w:sz w:val="22"/>
          <w:szCs w:val="22"/>
        </w:rPr>
        <w:t>January 21</w:t>
      </w:r>
      <w:r w:rsidRPr="008912E4">
        <w:rPr>
          <w:rFonts w:ascii="Source Sans Pro" w:eastAsia="Calibri" w:hAnsi="Source Sans Pro" w:cs="Calibri"/>
          <w:sz w:val="22"/>
          <w:szCs w:val="22"/>
        </w:rPr>
        <w:t>: The $500 billion private-sector Stargate project is announced.</w:t>
      </w:r>
    </w:p>
    <w:p w14:paraId="112D7C2A" w14:textId="68DBC742" w:rsidR="002960D1"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xml:space="preserve">• </w:t>
      </w:r>
      <w:r w:rsidRPr="008912E4">
        <w:rPr>
          <w:rFonts w:ascii="Source Sans Pro" w:eastAsia="Calibri" w:hAnsi="Source Sans Pro" w:cs="Calibri"/>
          <w:b/>
          <w:sz w:val="22"/>
          <w:szCs w:val="22"/>
        </w:rPr>
        <w:t>January 27</w:t>
      </w:r>
      <w:r w:rsidRPr="008912E4">
        <w:rPr>
          <w:rFonts w:ascii="Source Sans Pro" w:eastAsia="Calibri" w:hAnsi="Source Sans Pro" w:cs="Calibri"/>
          <w:sz w:val="22"/>
          <w:szCs w:val="22"/>
        </w:rPr>
        <w:t>: AI stocks fall on DeepSeek news</w:t>
      </w:r>
    </w:p>
    <w:p w14:paraId="294EAAC0" w14:textId="6545F3D0"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xml:space="preserve">• </w:t>
      </w:r>
      <w:r w:rsidRPr="008912E4">
        <w:rPr>
          <w:rFonts w:ascii="Source Sans Pro" w:eastAsia="Calibri" w:hAnsi="Source Sans Pro" w:cs="Calibri"/>
          <w:b/>
          <w:sz w:val="22"/>
          <w:szCs w:val="22"/>
        </w:rPr>
        <w:t>April 2 to 9</w:t>
      </w:r>
      <w:r w:rsidRPr="008912E4">
        <w:rPr>
          <w:rFonts w:ascii="Source Sans Pro" w:eastAsia="Calibri" w:hAnsi="Source Sans Pro" w:cs="Calibri"/>
          <w:sz w:val="22"/>
          <w:szCs w:val="22"/>
        </w:rPr>
        <w:t>: "Liberation Day" tariff announcement leads to a market correction. This was followed by a 90-day pause which sparked a rally.</w:t>
      </w:r>
    </w:p>
    <w:p w14:paraId="49F94E8F" w14:textId="5A568453"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xml:space="preserve">• </w:t>
      </w:r>
      <w:r w:rsidRPr="008912E4">
        <w:rPr>
          <w:rFonts w:ascii="Source Sans Pro" w:eastAsia="Calibri" w:hAnsi="Source Sans Pro" w:cs="Calibri"/>
          <w:b/>
          <w:sz w:val="22"/>
          <w:szCs w:val="22"/>
        </w:rPr>
        <w:t>July 4</w:t>
      </w:r>
      <w:r w:rsidRPr="008912E4">
        <w:rPr>
          <w:rFonts w:ascii="Source Sans Pro" w:eastAsia="Calibri" w:hAnsi="Source Sans Pro" w:cs="Calibri"/>
          <w:sz w:val="22"/>
          <w:szCs w:val="22"/>
        </w:rPr>
        <w:t>: The "One Big Beautiful Bill Act" is signed into law, extending many Tax Cuts and Jobs Act provisions.</w:t>
      </w:r>
    </w:p>
    <w:p w14:paraId="7C47905F" w14:textId="4AFE965D"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xml:space="preserve">• </w:t>
      </w:r>
      <w:r w:rsidRPr="008912E4">
        <w:rPr>
          <w:rFonts w:ascii="Source Sans Pro" w:eastAsia="Calibri" w:hAnsi="Source Sans Pro" w:cs="Calibri"/>
          <w:b/>
          <w:sz w:val="22"/>
          <w:szCs w:val="22"/>
        </w:rPr>
        <w:t>September 17</w:t>
      </w:r>
      <w:r w:rsidRPr="008912E4">
        <w:rPr>
          <w:rFonts w:ascii="Source Sans Pro" w:eastAsia="Calibri" w:hAnsi="Source Sans Pro" w:cs="Calibri"/>
          <w:sz w:val="22"/>
          <w:szCs w:val="22"/>
        </w:rPr>
        <w:t>: The Fed begins cutting interest rates again.</w:t>
      </w:r>
    </w:p>
    <w:p w14:paraId="607A9734" w14:textId="4E440FE9"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w:t>
      </w:r>
      <w:r w:rsidRPr="008912E4">
        <w:rPr>
          <w:rFonts w:ascii="Source Sans Pro" w:eastAsia="Calibri" w:hAnsi="Source Sans Pro" w:cs="Calibri"/>
          <w:b/>
          <w:sz w:val="22"/>
          <w:szCs w:val="22"/>
        </w:rPr>
        <w:t xml:space="preserve"> September 22</w:t>
      </w:r>
      <w:r w:rsidRPr="008912E4">
        <w:rPr>
          <w:rFonts w:ascii="Source Sans Pro" w:eastAsia="Calibri" w:hAnsi="Source Sans Pro" w:cs="Calibri"/>
          <w:sz w:val="22"/>
          <w:szCs w:val="22"/>
        </w:rPr>
        <w:t>: Nvidia and OpenAI announced a major strategic partnership and investment, raising concerns of "circular deals."</w:t>
      </w:r>
    </w:p>
    <w:p w14:paraId="5A07881F" w14:textId="0C30CC7E"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w:t>
      </w:r>
      <w:r w:rsidRPr="008912E4">
        <w:rPr>
          <w:rFonts w:ascii="Source Sans Pro" w:eastAsia="Calibri" w:hAnsi="Source Sans Pro" w:cs="Calibri"/>
          <w:b/>
          <w:sz w:val="22"/>
          <w:szCs w:val="22"/>
        </w:rPr>
        <w:t xml:space="preserve"> October 1</w:t>
      </w:r>
      <w:r w:rsidRPr="008912E4">
        <w:rPr>
          <w:rFonts w:ascii="Source Sans Pro" w:eastAsia="Calibri" w:hAnsi="Source Sans Pro" w:cs="Calibri"/>
          <w:sz w:val="22"/>
          <w:szCs w:val="22"/>
        </w:rPr>
        <w:t>: The government shuts down for what would be a record-setting 43 days.</w:t>
      </w:r>
    </w:p>
    <w:p w14:paraId="6DFDEC1E" w14:textId="704FA462" w:rsidR="008912E4" w:rsidRPr="008912E4" w:rsidRDefault="008912E4" w:rsidP="002960D1">
      <w:pPr>
        <w:rPr>
          <w:rFonts w:ascii="Source Sans Pro" w:eastAsia="Calibri" w:hAnsi="Source Sans Pro" w:cs="Calibri"/>
          <w:sz w:val="22"/>
          <w:szCs w:val="22"/>
        </w:rPr>
      </w:pPr>
      <w:r w:rsidRPr="008912E4">
        <w:rPr>
          <w:rFonts w:ascii="Source Sans Pro" w:eastAsia="Calibri" w:hAnsi="Source Sans Pro" w:cs="Calibri"/>
          <w:sz w:val="22"/>
          <w:szCs w:val="22"/>
        </w:rPr>
        <w:br/>
        <w:t xml:space="preserve">• </w:t>
      </w:r>
      <w:r w:rsidRPr="008912E4">
        <w:rPr>
          <w:rFonts w:ascii="Source Sans Pro" w:eastAsia="Calibri" w:hAnsi="Source Sans Pro" w:cs="Calibri"/>
          <w:b/>
          <w:sz w:val="22"/>
          <w:szCs w:val="22"/>
        </w:rPr>
        <w:t>October 14</w:t>
      </w:r>
      <w:r w:rsidRPr="008912E4">
        <w:rPr>
          <w:rFonts w:ascii="Source Sans Pro" w:eastAsia="Calibri" w:hAnsi="Source Sans Pro" w:cs="Calibri"/>
          <w:sz w:val="22"/>
          <w:szCs w:val="22"/>
        </w:rPr>
        <w:t>: Jamie Dimon warns of “cockroaches” after the bankruptcies of Tricolor and First Brands.</w:t>
      </w:r>
    </w:p>
    <w:p w14:paraId="07D1CCB5" w14:textId="5900BB56" w:rsidR="002960D1" w:rsidRDefault="008912E4" w:rsidP="008912E4">
      <w:pPr>
        <w:rPr>
          <w:rFonts w:ascii="Source Sans Pro" w:eastAsia="Calibri" w:hAnsi="Source Sans Pro" w:cs="Calibri"/>
          <w:b/>
          <w:sz w:val="22"/>
          <w:szCs w:val="22"/>
        </w:rPr>
      </w:pPr>
      <w:r w:rsidRPr="008912E4">
        <w:rPr>
          <w:rFonts w:ascii="Source Sans Pro" w:eastAsia="Calibri" w:hAnsi="Source Sans Pro" w:cs="Calibri"/>
          <w:sz w:val="22"/>
          <w:szCs w:val="22"/>
        </w:rPr>
        <w:br/>
        <w:t xml:space="preserve">• </w:t>
      </w:r>
      <w:r w:rsidRPr="008912E4">
        <w:rPr>
          <w:rFonts w:ascii="Source Sans Pro" w:eastAsia="Calibri" w:hAnsi="Source Sans Pro" w:cs="Calibri"/>
          <w:b/>
          <w:sz w:val="22"/>
          <w:szCs w:val="22"/>
        </w:rPr>
        <w:t>December 16</w:t>
      </w:r>
      <w:r w:rsidRPr="008912E4">
        <w:rPr>
          <w:rFonts w:ascii="Source Sans Pro" w:eastAsia="Calibri" w:hAnsi="Source Sans Pro" w:cs="Calibri"/>
          <w:sz w:val="22"/>
          <w:szCs w:val="22"/>
        </w:rPr>
        <w:t>: According to the BEA, the unemployment rate hit a four-year high of 4.6% in November.</w:t>
      </w:r>
      <w:r w:rsidRPr="008912E4">
        <w:rPr>
          <w:rFonts w:ascii="Source Sans Pro" w:eastAsia="Calibri" w:hAnsi="Source Sans Pro" w:cs="Calibri"/>
          <w:sz w:val="22"/>
          <w:szCs w:val="22"/>
        </w:rPr>
        <w:br/>
      </w:r>
    </w:p>
    <w:p w14:paraId="70A0E909" w14:textId="419B8F35" w:rsidR="008912E4" w:rsidRPr="008912E4" w:rsidRDefault="008912E4" w:rsidP="008912E4">
      <w:pPr>
        <w:rPr>
          <w:rFonts w:ascii="Source Sans Pro" w:eastAsia="Calibri" w:hAnsi="Source Sans Pro" w:cs="Calibri"/>
          <w:b/>
          <w:sz w:val="22"/>
          <w:szCs w:val="22"/>
        </w:rPr>
      </w:pPr>
      <w:r w:rsidRPr="008912E4">
        <w:rPr>
          <w:rFonts w:ascii="Source Sans Pro" w:eastAsia="Calibri" w:hAnsi="Source Sans Pro" w:cs="Calibri"/>
          <w:b/>
          <w:sz w:val="22"/>
          <w:szCs w:val="22"/>
        </w:rPr>
        <w:lastRenderedPageBreak/>
        <w:t>Three key themes defined the past year</w:t>
      </w:r>
    </w:p>
    <w:p w14:paraId="4ADDD302" w14:textId="50B2C465" w:rsidR="008912E4" w:rsidRPr="008912E4" w:rsidRDefault="008912E4" w:rsidP="008912E4">
      <w:pPr>
        <w:spacing w:after="220" w:line="312" w:lineRule="exact"/>
        <w:rPr>
          <w:rFonts w:ascii="Source Sans Pro" w:eastAsia="Calibri" w:hAnsi="Source Sans Pro" w:cs="Calibri"/>
          <w:sz w:val="22"/>
          <w:szCs w:val="22"/>
        </w:rPr>
      </w:pPr>
      <w:r w:rsidRPr="008912E4">
        <w:rPr>
          <w:rFonts w:ascii="Source Sans Pro" w:eastAsia="Calibri" w:hAnsi="Source Sans Pro" w:cs="Calibri"/>
          <w:sz w:val="22"/>
          <w:szCs w:val="22"/>
        </w:rPr>
        <w:br/>
        <w:t>What themes drove markets across these events? First, it’s hard to miss the fact that artificial intelligence dominated market narratives throughout 2025. From massive infrastructure investments to concerns about market concentration, AI grew as an important source of economic growth and market returns. The Magnificent 7 stocks now represent around one-third of the S&amp;P 500, creating concentration risk that means most investors have exposure to these stocks whether they realize it or not. Recognizing this when crafting investment strategies and financial plans will only grow in importance.</w:t>
      </w:r>
      <w:r w:rsidRPr="008912E4">
        <w:rPr>
          <w:rFonts w:ascii="Source Sans Pro" w:eastAsia="Calibri" w:hAnsi="Source Sans Pro" w:cs="Calibri"/>
          <w:sz w:val="22"/>
          <w:szCs w:val="22"/>
        </w:rPr>
        <w:br/>
      </w:r>
      <w:r w:rsidRPr="008912E4">
        <w:rPr>
          <w:rFonts w:ascii="Source Sans Pro" w:eastAsia="Calibri" w:hAnsi="Source Sans Pro" w:cs="Calibri"/>
          <w:sz w:val="22"/>
          <w:szCs w:val="22"/>
        </w:rPr>
        <w:br/>
        <w:t>Second, tariff policy created uncertainty but has had less economic impact than expected. Tariffs on imported goods have risen sharply for many trading partners, yet the feared economic consequences largely failed to materialize. This is because companies adapted, tariffs were paused or scaled back, and consumer spending remained strong. For investors, this highlights that the outcomes of policy changes in Washington, whether its trade or federal finances, do not always have an obvious effect on the economy or markets.</w:t>
      </w:r>
      <w:r w:rsidRPr="008912E4">
        <w:rPr>
          <w:rFonts w:ascii="Source Sans Pro" w:eastAsia="Calibri" w:hAnsi="Source Sans Pro" w:cs="Calibri"/>
          <w:sz w:val="22"/>
          <w:szCs w:val="22"/>
        </w:rPr>
        <w:br/>
      </w:r>
    </w:p>
    <w:p w14:paraId="3AF4DB81" w14:textId="4225D004" w:rsidR="008912E4" w:rsidRPr="008912E4" w:rsidRDefault="002960D1" w:rsidP="008912E4">
      <w:pPr>
        <w:spacing w:after="220" w:line="312" w:lineRule="exact"/>
        <w:rPr>
          <w:rFonts w:ascii="Source Sans Pro" w:eastAsia="Calibri" w:hAnsi="Source Sans Pro" w:cs="Calibri"/>
          <w:sz w:val="22"/>
          <w:szCs w:val="22"/>
        </w:rPr>
      </w:pPr>
      <w:r w:rsidRPr="008912E4">
        <w:rPr>
          <w:rFonts w:ascii="Source Sans Pro" w:eastAsia="Calibri" w:hAnsi="Source Sans Pro" w:cs="Calibri"/>
          <w:noProof/>
          <w:sz w:val="22"/>
          <w:szCs w:val="22"/>
        </w:rPr>
        <w:drawing>
          <wp:anchor distT="0" distB="0" distL="114300" distR="114300" simplePos="0" relativeHeight="251659264" behindDoc="1" locked="0" layoutInCell="1" allowOverlap="1" wp14:anchorId="5D466F6E" wp14:editId="2055EE3B">
            <wp:simplePos x="0" y="0"/>
            <wp:positionH relativeFrom="margin">
              <wp:posOffset>533400</wp:posOffset>
            </wp:positionH>
            <wp:positionV relativeFrom="paragraph">
              <wp:posOffset>1138555</wp:posOffset>
            </wp:positionV>
            <wp:extent cx="5730240" cy="3994785"/>
            <wp:effectExtent l="0" t="0" r="3810" b="5715"/>
            <wp:wrapTopAndBottom/>
            <wp:docPr id="13932050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208" t="2083" r="6251" b="15625"/>
                    <a:stretch>
                      <a:fillRect/>
                    </a:stretch>
                  </pic:blipFill>
                  <pic:spPr bwMode="auto">
                    <a:xfrm>
                      <a:off x="0" y="0"/>
                      <a:ext cx="5730240" cy="3994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12E4" w:rsidRPr="008912E4">
        <w:rPr>
          <w:rFonts w:ascii="Source Sans Pro" w:eastAsia="Calibri" w:hAnsi="Source Sans Pro" w:cs="Calibri"/>
          <w:sz w:val="22"/>
          <w:szCs w:val="22"/>
        </w:rPr>
        <w:t>Third, many asset classes performed well in 2025. International stocks outperformed U.S. markets, due in part to the decline in the U.S. dollar. Bonds generated strong returns and have nearly recovered their losses from 2022. Other individual assets including gold also had record years. So, benefiting from all of these asset classes is less about making individual investments, but about having the right asset allocation that can take advantage of opportunities while managing sources of risk.</w:t>
      </w:r>
    </w:p>
    <w:p w14:paraId="561CEC9F" w14:textId="30A8432D" w:rsidR="008912E4" w:rsidRDefault="008912E4" w:rsidP="00F368AB">
      <w:pPr>
        <w:spacing w:after="220" w:line="312" w:lineRule="exact"/>
        <w:rPr>
          <w:rFonts w:ascii="Source Sans Pro" w:eastAsia="Calibri" w:hAnsi="Source Sans Pro" w:cs="Calibri"/>
          <w:b/>
          <w:sz w:val="22"/>
          <w:szCs w:val="22"/>
        </w:rPr>
      </w:pPr>
      <w:r w:rsidRPr="008912E4">
        <w:rPr>
          <w:rFonts w:ascii="Source Sans Pro" w:eastAsia="Calibri" w:hAnsi="Source Sans Pro" w:cs="Calibri"/>
          <w:sz w:val="22"/>
          <w:szCs w:val="22"/>
        </w:rPr>
        <w:br/>
      </w:r>
      <w:r w:rsidRPr="008912E4">
        <w:rPr>
          <w:rFonts w:ascii="Source Sans Pro" w:eastAsia="Calibri" w:hAnsi="Source Sans Pro" w:cs="Calibri"/>
          <w:b/>
          <w:sz w:val="22"/>
          <w:szCs w:val="22"/>
        </w:rPr>
        <w:t>The bottom line? 2025 was a strong year for investors. While we celebrate a good year in markets, it underscores the importance of maintaining investment discipline. Investors should continue to apply this lesson to their investment and financial plans for the coming year.</w:t>
      </w:r>
    </w:p>
    <w:p w14:paraId="05E15CB0" w14:textId="18027736" w:rsidR="008912E4" w:rsidRPr="008912E4" w:rsidRDefault="008912E4" w:rsidP="00F368AB">
      <w:pPr>
        <w:spacing w:after="220" w:line="312" w:lineRule="exact"/>
        <w:rPr>
          <w:rFonts w:ascii="Source Sans Pro" w:eastAsia="Calibri" w:hAnsi="Source Sans Pro" w:cs="Calibri"/>
          <w:sz w:val="22"/>
          <w:szCs w:val="22"/>
        </w:rPr>
      </w:pPr>
    </w:p>
    <w:p w14:paraId="1B05CE86" w14:textId="5CA8926F" w:rsidR="00F368AB" w:rsidRPr="002960D1" w:rsidRDefault="00D90835" w:rsidP="005C4505">
      <w:pPr>
        <w:spacing w:after="220"/>
        <w:rPr>
          <w:rFonts w:ascii="Source Sans Pro" w:eastAsia="Calibri" w:hAnsi="Source Sans Pro" w:cs="Calibri"/>
          <w:sz w:val="22"/>
          <w:szCs w:val="22"/>
        </w:rPr>
      </w:pPr>
      <w:r w:rsidRPr="002960D1">
        <w:rPr>
          <w:rFonts w:ascii="Source Sans Pro" w:eastAsia="Calibri" w:hAnsi="Source Sans Pro" w:cs="Calibri"/>
          <w:sz w:val="22"/>
          <w:szCs w:val="22"/>
        </w:rPr>
        <w:lastRenderedPageBreak/>
        <w:t xml:space="preserve">Derek </w:t>
      </w:r>
      <w:r w:rsidR="005A7C6A">
        <w:rPr>
          <w:rFonts w:ascii="Source Sans Pro" w:eastAsia="Calibri" w:hAnsi="Source Sans Pro" w:cs="Calibri"/>
          <w:sz w:val="22"/>
          <w:szCs w:val="22"/>
        </w:rPr>
        <w:t xml:space="preserve">A. </w:t>
      </w:r>
      <w:r w:rsidRPr="002960D1">
        <w:rPr>
          <w:rFonts w:ascii="Source Sans Pro" w:eastAsia="Calibri" w:hAnsi="Source Sans Pro" w:cs="Calibri"/>
          <w:sz w:val="22"/>
          <w:szCs w:val="22"/>
        </w:rPr>
        <w:t>Bergfeld is a Registered Representative with and Securities and Advisory services offered through LPL Financial. A Registered Investment Advisor. Member FINRA/SIPC.</w:t>
      </w:r>
    </w:p>
    <w:p w14:paraId="359E4822" w14:textId="1297A551" w:rsidR="008912E4" w:rsidRDefault="008912E4" w:rsidP="008912E4">
      <w:pPr>
        <w:spacing w:after="220"/>
        <w:rPr>
          <w:rFonts w:ascii="Source Sans Pro" w:eastAsia="Calibri" w:hAnsi="Source Sans Pro" w:cs="Calibri"/>
          <w:sz w:val="22"/>
          <w:szCs w:val="22"/>
        </w:rPr>
      </w:pPr>
      <w:r w:rsidRPr="008912E4">
        <w:rPr>
          <w:rFonts w:ascii="Source Sans Pro" w:eastAsia="Calibri" w:hAnsi="Source Sans Pro" w:cs="Calibri"/>
          <w:sz w:val="22"/>
          <w:szCs w:val="22"/>
        </w:rPr>
        <w:t xml:space="preserve">Copyright (c) 2026 </w:t>
      </w:r>
      <w:proofErr w:type="spellStart"/>
      <w:r w:rsidRPr="008912E4">
        <w:rPr>
          <w:rFonts w:ascii="Source Sans Pro" w:eastAsia="Calibri" w:hAnsi="Source Sans Pro" w:cs="Calibri"/>
          <w:sz w:val="22"/>
          <w:szCs w:val="22"/>
        </w:rPr>
        <w:t>Clearnomics</w:t>
      </w:r>
      <w:proofErr w:type="spellEnd"/>
      <w:r w:rsidRPr="008912E4">
        <w:rPr>
          <w:rFonts w:ascii="Source Sans Pro" w:eastAsia="Calibri" w:hAnsi="Source Sans Pro" w:cs="Calibri"/>
          <w:sz w:val="22"/>
          <w:szCs w:val="22"/>
        </w:rPr>
        <w:t xml:space="preserve">, Inc. All rights reserved. The information contained herein has been obtained from sources believed to be reliable, but is not necessarily complete and its accuracy cannot be guaranteed. No representation or warranty, express or implied, is made as to the fairness, accuracy, completeness, or correctness of the information and opinions contained herein. The views and the other information provided are subject to change without notice. All reports posted on or via www.clearnomics.com or any affiliated websites, applications, or services are issued without regard to the specific investment objectives, financial situation, or particular needs of any specific recipient and are not to be construed as a solicitation or an offer to buy or sell any securities or related financial instruments. Past performance is not necessarily a guide to future results. Company fundamentals and earnings may be mentioned occasionally, but should not be construed as a recommendation to buy, sell, or hold the company's stock. Predictions, forecasts, and estimates for any and all markets should not be construed as recommendations to buy, sell, or hold any security--including mutual funds, futures contracts, and exchange traded funds, or any similar instruments. The text, images, and other materials contained or displayed in this report are proprietary to </w:t>
      </w:r>
      <w:proofErr w:type="spellStart"/>
      <w:r w:rsidRPr="008912E4">
        <w:rPr>
          <w:rFonts w:ascii="Source Sans Pro" w:eastAsia="Calibri" w:hAnsi="Source Sans Pro" w:cs="Calibri"/>
          <w:sz w:val="22"/>
          <w:szCs w:val="22"/>
        </w:rPr>
        <w:t>Clearnomics</w:t>
      </w:r>
      <w:proofErr w:type="spellEnd"/>
      <w:r w:rsidRPr="008912E4">
        <w:rPr>
          <w:rFonts w:ascii="Source Sans Pro" w:eastAsia="Calibri" w:hAnsi="Source Sans Pro" w:cs="Calibri"/>
          <w:sz w:val="22"/>
          <w:szCs w:val="22"/>
        </w:rPr>
        <w:t xml:space="preserve">, Inc. and constitute valuable intellectual property. All unauthorized reproduction or other use of material from </w:t>
      </w:r>
      <w:proofErr w:type="spellStart"/>
      <w:r w:rsidRPr="008912E4">
        <w:rPr>
          <w:rFonts w:ascii="Source Sans Pro" w:eastAsia="Calibri" w:hAnsi="Source Sans Pro" w:cs="Calibri"/>
          <w:sz w:val="22"/>
          <w:szCs w:val="22"/>
        </w:rPr>
        <w:t>Clearnomics</w:t>
      </w:r>
      <w:proofErr w:type="spellEnd"/>
      <w:r w:rsidRPr="008912E4">
        <w:rPr>
          <w:rFonts w:ascii="Source Sans Pro" w:eastAsia="Calibri" w:hAnsi="Source Sans Pro" w:cs="Calibri"/>
          <w:sz w:val="22"/>
          <w:szCs w:val="22"/>
        </w:rPr>
        <w:t xml:space="preserve">, Inc. shall be deemed willful infringement(s) of this copyright and other proprietary and intellectual property rights, including but not limited to, rights of privacy. </w:t>
      </w:r>
      <w:proofErr w:type="spellStart"/>
      <w:r w:rsidRPr="008912E4">
        <w:rPr>
          <w:rFonts w:ascii="Source Sans Pro" w:eastAsia="Calibri" w:hAnsi="Source Sans Pro" w:cs="Calibri"/>
          <w:sz w:val="22"/>
          <w:szCs w:val="22"/>
        </w:rPr>
        <w:t>Clearnomics</w:t>
      </w:r>
      <w:proofErr w:type="spellEnd"/>
      <w:r w:rsidRPr="008912E4">
        <w:rPr>
          <w:rFonts w:ascii="Source Sans Pro" w:eastAsia="Calibri" w:hAnsi="Source Sans Pro" w:cs="Calibri"/>
          <w:sz w:val="22"/>
          <w:szCs w:val="22"/>
        </w:rPr>
        <w:t xml:space="preserve">, Inc. expressly reserves all rights in connection with its intellectual property, including without limitation the right to block the transfer of its products and services and/or to track usage thereof, through electronic tracking technology, and all other lawful means, now known or hereafter devised. </w:t>
      </w:r>
      <w:proofErr w:type="spellStart"/>
      <w:r w:rsidRPr="008912E4">
        <w:rPr>
          <w:rFonts w:ascii="Source Sans Pro" w:eastAsia="Calibri" w:hAnsi="Source Sans Pro" w:cs="Calibri"/>
          <w:sz w:val="22"/>
          <w:szCs w:val="22"/>
        </w:rPr>
        <w:t>Clearnomics</w:t>
      </w:r>
      <w:proofErr w:type="spellEnd"/>
      <w:r w:rsidRPr="008912E4">
        <w:rPr>
          <w:rFonts w:ascii="Source Sans Pro" w:eastAsia="Calibri" w:hAnsi="Source Sans Pro" w:cs="Calibri"/>
          <w:sz w:val="22"/>
          <w:szCs w:val="22"/>
        </w:rPr>
        <w:t>, Inc. reserves the right, without further notice, to pursue to the fullest extent allowed by the law any and all criminal and civil remedies for the violation of its rights.</w:t>
      </w:r>
    </w:p>
    <w:p w14:paraId="736A25F3" w14:textId="78CD97A6" w:rsidR="008325DA" w:rsidRPr="008325DA" w:rsidRDefault="008325DA" w:rsidP="008912E4">
      <w:pPr>
        <w:spacing w:after="220"/>
        <w:rPr>
          <w:rFonts w:ascii="Source Sans Pro" w:eastAsia="Calibri" w:hAnsi="Source Sans Pro" w:cs="Calibri"/>
          <w:b/>
          <w:bCs/>
          <w:sz w:val="22"/>
          <w:szCs w:val="22"/>
        </w:rPr>
      </w:pPr>
      <w:r w:rsidRPr="008325DA">
        <w:rPr>
          <w:rFonts w:ascii="Source Sans Pro" w:eastAsia="Calibri" w:hAnsi="Source Sans Pro" w:cs="Calibri"/>
          <w:b/>
          <w:bCs/>
          <w:sz w:val="22"/>
          <w:szCs w:val="22"/>
        </w:rPr>
        <w:t>LPL Tracking Number 844321</w:t>
      </w:r>
    </w:p>
    <w:p w14:paraId="48C7EF59" w14:textId="77777777" w:rsidR="008912E4" w:rsidRDefault="008912E4" w:rsidP="005C4505">
      <w:pPr>
        <w:jc w:val="center"/>
        <w:rPr>
          <w:rFonts w:ascii="Source Sans Pro" w:eastAsia="Calibri" w:hAnsi="Source Sans Pro" w:cs="Calibri"/>
          <w:sz w:val="18"/>
          <w:szCs w:val="18"/>
        </w:rPr>
      </w:pPr>
    </w:p>
    <w:p w14:paraId="4C825BD4" w14:textId="6960FC9D" w:rsidR="00221EF4" w:rsidRDefault="00B3141D" w:rsidP="005C4505">
      <w:pPr>
        <w:jc w:val="center"/>
      </w:pPr>
      <w:r w:rsidRPr="005C4505">
        <w:rPr>
          <w:rFonts w:ascii="Source Sans Pro" w:hAnsi="Source Sans Pro"/>
          <w:sz w:val="16"/>
          <w:szCs w:val="16"/>
        </w:rPr>
        <w:br/>
      </w:r>
    </w:p>
    <w:p w14:paraId="4C906FFB" w14:textId="77777777" w:rsidR="002960D1" w:rsidRDefault="002960D1" w:rsidP="005C4505">
      <w:pPr>
        <w:jc w:val="center"/>
      </w:pPr>
    </w:p>
    <w:p w14:paraId="0D01FBDA" w14:textId="77777777" w:rsidR="002960D1" w:rsidRDefault="002960D1" w:rsidP="005C4505">
      <w:pPr>
        <w:jc w:val="center"/>
      </w:pPr>
    </w:p>
    <w:p w14:paraId="28D48CC3" w14:textId="77777777" w:rsidR="002960D1" w:rsidRDefault="002960D1" w:rsidP="005C4505">
      <w:pPr>
        <w:jc w:val="center"/>
      </w:pPr>
    </w:p>
    <w:p w14:paraId="1D2AEB63" w14:textId="77777777" w:rsidR="002960D1" w:rsidRDefault="002960D1" w:rsidP="008325DA"/>
    <w:p w14:paraId="761623AD" w14:textId="77777777" w:rsidR="002960D1" w:rsidRDefault="002960D1" w:rsidP="005C4505">
      <w:pPr>
        <w:jc w:val="center"/>
      </w:pPr>
    </w:p>
    <w:p w14:paraId="6A7145B6" w14:textId="77777777" w:rsidR="002960D1" w:rsidRDefault="002960D1" w:rsidP="005C4505">
      <w:pPr>
        <w:jc w:val="center"/>
      </w:pPr>
    </w:p>
    <w:p w14:paraId="214C52F9" w14:textId="77777777" w:rsidR="002960D1" w:rsidRDefault="002960D1" w:rsidP="005C4505">
      <w:pPr>
        <w:jc w:val="center"/>
      </w:pPr>
    </w:p>
    <w:p w14:paraId="14C575AE" w14:textId="77777777" w:rsidR="002960D1" w:rsidRDefault="002960D1" w:rsidP="005C4505">
      <w:pPr>
        <w:jc w:val="center"/>
      </w:pPr>
    </w:p>
    <w:p w14:paraId="1BEE1265" w14:textId="77777777" w:rsidR="002960D1" w:rsidRDefault="002960D1" w:rsidP="005C4505">
      <w:pPr>
        <w:jc w:val="center"/>
      </w:pPr>
    </w:p>
    <w:p w14:paraId="380FC1ED" w14:textId="77777777" w:rsidR="002960D1" w:rsidRDefault="002960D1" w:rsidP="005C4505">
      <w:pPr>
        <w:jc w:val="center"/>
      </w:pPr>
    </w:p>
    <w:p w14:paraId="4FFE88C1" w14:textId="77777777" w:rsidR="002960D1" w:rsidRDefault="002960D1" w:rsidP="005C4505">
      <w:pPr>
        <w:jc w:val="center"/>
      </w:pPr>
    </w:p>
    <w:p w14:paraId="2EF8F82F" w14:textId="77777777" w:rsidR="002960D1" w:rsidRDefault="002960D1" w:rsidP="009D1466"/>
    <w:p w14:paraId="228806DB" w14:textId="77777777" w:rsidR="002960D1" w:rsidRDefault="002960D1" w:rsidP="005C4505">
      <w:pPr>
        <w:jc w:val="center"/>
      </w:pPr>
    </w:p>
    <w:p w14:paraId="58C08E1C" w14:textId="0B3A1B69" w:rsidR="000E0231" w:rsidRDefault="005C4505" w:rsidP="003F635B">
      <w:pPr>
        <w:jc w:val="center"/>
      </w:pPr>
      <w:r>
        <w:rPr>
          <w:noProof/>
        </w:rPr>
        <w:drawing>
          <wp:inline distT="0" distB="0" distL="0" distR="0" wp14:anchorId="13EF0CD8" wp14:editId="4B4EF1D4">
            <wp:extent cx="4950460" cy="770832"/>
            <wp:effectExtent l="0" t="0" r="2540" b="0"/>
            <wp:docPr id="8" name="Picture 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logo&#10;&#10;AI-generated content may be incorrect."/>
                    <pic:cNvPicPr/>
                  </pic:nvPicPr>
                  <pic:blipFill>
                    <a:blip r:embed="rId8"/>
                    <a:stretch>
                      <a:fillRect/>
                    </a:stretch>
                  </pic:blipFill>
                  <pic:spPr>
                    <a:xfrm>
                      <a:off x="0" y="0"/>
                      <a:ext cx="5172489" cy="805404"/>
                    </a:xfrm>
                    <a:prstGeom prst="rect">
                      <a:avLst/>
                    </a:prstGeom>
                  </pic:spPr>
                </pic:pic>
              </a:graphicData>
            </a:graphic>
          </wp:inline>
        </w:drawing>
      </w:r>
    </w:p>
    <w:sectPr w:rsidR="000E0231" w:rsidSect="008912E4">
      <w:headerReference w:type="default" r:id="rId13"/>
      <w:headerReference w:type="first" r:id="rId14"/>
      <w:pgSz w:w="12240" w:h="15840"/>
      <w:pgMar w:top="0" w:right="360" w:bottom="180" w:left="540" w:header="576"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61E1" w14:textId="77777777" w:rsidR="003306EB" w:rsidRDefault="003306EB">
      <w:r>
        <w:separator/>
      </w:r>
    </w:p>
  </w:endnote>
  <w:endnote w:type="continuationSeparator" w:id="0">
    <w:p w14:paraId="63E201FB" w14:textId="77777777" w:rsidR="003306EB" w:rsidRDefault="0033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CBC3" w14:textId="77777777" w:rsidR="003306EB" w:rsidRDefault="003306EB">
      <w:r>
        <w:separator/>
      </w:r>
    </w:p>
  </w:footnote>
  <w:footnote w:type="continuationSeparator" w:id="0">
    <w:p w14:paraId="2378A643" w14:textId="77777777" w:rsidR="003306EB" w:rsidRDefault="0033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450E" w14:textId="6E75A17A" w:rsidR="004907E1" w:rsidRDefault="004907E1">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9300" w14:textId="3DADED6B" w:rsidR="00510BE6" w:rsidRPr="008912E4" w:rsidRDefault="008912E4" w:rsidP="008912E4">
    <w:pPr>
      <w:pStyle w:val="Header"/>
      <w:rPr>
        <w:b/>
        <w:bCs/>
        <w:sz w:val="42"/>
        <w:szCs w:val="42"/>
      </w:rPr>
    </w:pPr>
    <w:r w:rsidRPr="008912E4">
      <w:rPr>
        <w:b/>
        <w:bCs/>
        <w:sz w:val="42"/>
        <w:szCs w:val="42"/>
      </w:rPr>
      <w:t>2025 Year in Review: A Historic Market Year for Investors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6EC3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9A6A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2C1E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568B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D4EB1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D667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4269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A8A5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616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B68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AE2DDC"/>
    <w:multiLevelType w:val="hybridMultilevel"/>
    <w:tmpl w:val="3366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C7E96"/>
    <w:multiLevelType w:val="hybridMultilevel"/>
    <w:tmpl w:val="9530F296"/>
    <w:lvl w:ilvl="0" w:tplc="6BA63A64">
      <w:numFmt w:val="bullet"/>
      <w:lvlText w:val="•"/>
      <w:lvlJc w:val="left"/>
      <w:pPr>
        <w:ind w:left="720" w:hanging="360"/>
      </w:pPr>
      <w:rPr>
        <w:rFonts w:ascii="Source Sans Pro" w:eastAsia="Calibri" w:hAnsi="Source Sans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E241E"/>
    <w:multiLevelType w:val="hybridMultilevel"/>
    <w:tmpl w:val="AE406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A2868"/>
    <w:multiLevelType w:val="multilevel"/>
    <w:tmpl w:val="9670AE1E"/>
    <w:lvl w:ilvl="0">
      <w:start w:val="1"/>
      <w:numFmt w:val="decimal"/>
      <w:lvlText w:val="%1."/>
      <w:lvlJc w:val="left"/>
      <w:pPr>
        <w:tabs>
          <w:tab w:val="num" w:pos="0"/>
        </w:tabs>
        <w:ind w:left="547" w:hanging="547"/>
      </w:pPr>
      <w:rPr>
        <w:rFonts w:ascii="Verdana" w:eastAsia="Verdana" w:hAnsi="Verdana" w:cs="Verdana"/>
        <w:b/>
        <w:i w:val="0"/>
      </w:rPr>
    </w:lvl>
    <w:lvl w:ilvl="1">
      <w:start w:val="1"/>
      <w:numFmt w:val="decimal"/>
      <w:lvlText w:val="%1.%2"/>
      <w:lvlJc w:val="left"/>
      <w:pPr>
        <w:tabs>
          <w:tab w:val="num" w:pos="0"/>
        </w:tabs>
        <w:ind w:left="1195" w:hanging="835"/>
      </w:pPr>
      <w:rPr>
        <w:b/>
        <w:i w:val="0"/>
        <w:color w:val="000000"/>
      </w:rPr>
    </w:lvl>
    <w:lvl w:ilvl="2">
      <w:start w:val="1"/>
      <w:numFmt w:val="decimal"/>
      <w:pStyle w:val="Heads3"/>
      <w:lvlText w:val="%1.%2.%3"/>
      <w:lvlJc w:val="left"/>
      <w:pPr>
        <w:tabs>
          <w:tab w:val="num" w:pos="0"/>
        </w:tabs>
        <w:ind w:left="1008" w:hanging="1008"/>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9."/>
      <w:lvlJc w:val="left"/>
      <w:pPr>
        <w:tabs>
          <w:tab w:val="num" w:pos="0"/>
        </w:tabs>
        <w:ind w:left="1584" w:hanging="1584"/>
      </w:pPr>
      <w:rPr>
        <w:rFonts w:ascii="Verdana" w:eastAsia="Verdana" w:hAnsi="Verdana" w:cs="Verdana"/>
      </w:rPr>
    </w:lvl>
  </w:abstractNum>
  <w:abstractNum w:abstractNumId="14" w15:restartNumberingAfterBreak="0">
    <w:nsid w:val="711A4BDB"/>
    <w:multiLevelType w:val="multilevel"/>
    <w:tmpl w:val="A800BB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75621939">
    <w:abstractNumId w:val="13"/>
  </w:num>
  <w:num w:numId="2" w16cid:durableId="1124615552">
    <w:abstractNumId w:val="14"/>
  </w:num>
  <w:num w:numId="3" w16cid:durableId="819158647">
    <w:abstractNumId w:val="12"/>
  </w:num>
  <w:num w:numId="4" w16cid:durableId="57632180">
    <w:abstractNumId w:val="0"/>
  </w:num>
  <w:num w:numId="5" w16cid:durableId="1969360653">
    <w:abstractNumId w:val="1"/>
  </w:num>
  <w:num w:numId="6" w16cid:durableId="1896576218">
    <w:abstractNumId w:val="2"/>
  </w:num>
  <w:num w:numId="7" w16cid:durableId="246042562">
    <w:abstractNumId w:val="3"/>
  </w:num>
  <w:num w:numId="8" w16cid:durableId="591856667">
    <w:abstractNumId w:val="8"/>
  </w:num>
  <w:num w:numId="9" w16cid:durableId="791552484">
    <w:abstractNumId w:val="4"/>
  </w:num>
  <w:num w:numId="10" w16cid:durableId="1018701739">
    <w:abstractNumId w:val="5"/>
  </w:num>
  <w:num w:numId="11" w16cid:durableId="902059965">
    <w:abstractNumId w:val="6"/>
  </w:num>
  <w:num w:numId="12" w16cid:durableId="947469889">
    <w:abstractNumId w:val="7"/>
  </w:num>
  <w:num w:numId="13" w16cid:durableId="1258371147">
    <w:abstractNumId w:val="9"/>
  </w:num>
  <w:num w:numId="14" w16cid:durableId="638611103">
    <w:abstractNumId w:val="10"/>
  </w:num>
  <w:num w:numId="15" w16cid:durableId="1818767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04"/>
    <w:rsid w:val="00017EB9"/>
    <w:rsid w:val="00037F84"/>
    <w:rsid w:val="00045CA8"/>
    <w:rsid w:val="000A7C06"/>
    <w:rsid w:val="000D0345"/>
    <w:rsid w:val="000E0231"/>
    <w:rsid w:val="000E416D"/>
    <w:rsid w:val="0010418A"/>
    <w:rsid w:val="00157679"/>
    <w:rsid w:val="00221EF4"/>
    <w:rsid w:val="0022202F"/>
    <w:rsid w:val="0022690C"/>
    <w:rsid w:val="00236CE7"/>
    <w:rsid w:val="00262C13"/>
    <w:rsid w:val="002960D1"/>
    <w:rsid w:val="002F674E"/>
    <w:rsid w:val="003163EC"/>
    <w:rsid w:val="00322D74"/>
    <w:rsid w:val="00325088"/>
    <w:rsid w:val="003306EB"/>
    <w:rsid w:val="00334E69"/>
    <w:rsid w:val="00345122"/>
    <w:rsid w:val="00352EAE"/>
    <w:rsid w:val="003712B5"/>
    <w:rsid w:val="0037619E"/>
    <w:rsid w:val="0039658B"/>
    <w:rsid w:val="003C52F1"/>
    <w:rsid w:val="003D111F"/>
    <w:rsid w:val="003F635B"/>
    <w:rsid w:val="004005DD"/>
    <w:rsid w:val="0040688E"/>
    <w:rsid w:val="004907E1"/>
    <w:rsid w:val="004D72E0"/>
    <w:rsid w:val="004F4DB0"/>
    <w:rsid w:val="00510BE6"/>
    <w:rsid w:val="00594104"/>
    <w:rsid w:val="005956DB"/>
    <w:rsid w:val="005A7C6A"/>
    <w:rsid w:val="005C4505"/>
    <w:rsid w:val="006126E9"/>
    <w:rsid w:val="00612DB9"/>
    <w:rsid w:val="006F014E"/>
    <w:rsid w:val="00780D94"/>
    <w:rsid w:val="007901F2"/>
    <w:rsid w:val="007C3F9C"/>
    <w:rsid w:val="007F2523"/>
    <w:rsid w:val="007F4393"/>
    <w:rsid w:val="00812A83"/>
    <w:rsid w:val="00825744"/>
    <w:rsid w:val="0083207A"/>
    <w:rsid w:val="008325DA"/>
    <w:rsid w:val="00852116"/>
    <w:rsid w:val="00876FDB"/>
    <w:rsid w:val="008912E4"/>
    <w:rsid w:val="008D0924"/>
    <w:rsid w:val="009129C9"/>
    <w:rsid w:val="0091572D"/>
    <w:rsid w:val="00956148"/>
    <w:rsid w:val="009D1466"/>
    <w:rsid w:val="00A46AF6"/>
    <w:rsid w:val="00A57FFB"/>
    <w:rsid w:val="00AA03BC"/>
    <w:rsid w:val="00AA32F7"/>
    <w:rsid w:val="00AB3FFF"/>
    <w:rsid w:val="00AD117C"/>
    <w:rsid w:val="00B1622F"/>
    <w:rsid w:val="00B3141D"/>
    <w:rsid w:val="00B3771A"/>
    <w:rsid w:val="00B435C8"/>
    <w:rsid w:val="00B663C0"/>
    <w:rsid w:val="00B732FD"/>
    <w:rsid w:val="00B8757F"/>
    <w:rsid w:val="00B9023A"/>
    <w:rsid w:val="00C23C8B"/>
    <w:rsid w:val="00C831CE"/>
    <w:rsid w:val="00CA0470"/>
    <w:rsid w:val="00CD56F1"/>
    <w:rsid w:val="00D20639"/>
    <w:rsid w:val="00D34062"/>
    <w:rsid w:val="00D34972"/>
    <w:rsid w:val="00D72293"/>
    <w:rsid w:val="00D90835"/>
    <w:rsid w:val="00DA3731"/>
    <w:rsid w:val="00DB64C2"/>
    <w:rsid w:val="00DC5F52"/>
    <w:rsid w:val="00E0244D"/>
    <w:rsid w:val="00E438E0"/>
    <w:rsid w:val="00E60EE9"/>
    <w:rsid w:val="00E65144"/>
    <w:rsid w:val="00EB1A90"/>
    <w:rsid w:val="00EC5EF3"/>
    <w:rsid w:val="00ED6C2D"/>
    <w:rsid w:val="00EF6BCD"/>
    <w:rsid w:val="00F368AB"/>
    <w:rsid w:val="00F574AB"/>
    <w:rsid w:val="00F631DA"/>
    <w:rsid w:val="00FE3874"/>
    <w:rsid w:val="00FF08DB"/>
    <w:rsid w:val="00FF3E5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F0503"/>
  <w15:docId w15:val="{54E65EAE-E946-924A-9FB7-E4FFB6DF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23A2"/>
    <w:rPr>
      <w:b/>
      <w:bCs/>
    </w:rPr>
  </w:style>
  <w:style w:type="character" w:styleId="Emphasis">
    <w:name w:val="Emphasis"/>
    <w:basedOn w:val="DefaultParagraphFont"/>
    <w:uiPriority w:val="20"/>
    <w:qFormat/>
    <w:rsid w:val="005A23A2"/>
    <w:rPr>
      <w:i/>
      <w:iCs/>
    </w:rPr>
  </w:style>
  <w:style w:type="character" w:customStyle="1" w:styleId="HeaderChar">
    <w:name w:val="Header Char"/>
    <w:basedOn w:val="DefaultParagraphFont"/>
    <w:link w:val="Header"/>
    <w:uiPriority w:val="99"/>
    <w:qFormat/>
    <w:rsid w:val="00193B26"/>
  </w:style>
  <w:style w:type="character" w:customStyle="1" w:styleId="FooterChar">
    <w:name w:val="Footer Char"/>
    <w:basedOn w:val="DefaultParagraphFont"/>
    <w:link w:val="Footer"/>
    <w:uiPriority w:val="99"/>
    <w:qFormat/>
    <w:rsid w:val="00193B26"/>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s3">
    <w:name w:val="Heads 3"/>
    <w:basedOn w:val="Normal"/>
    <w:qFormat/>
    <w:rsid w:val="007E0184"/>
    <w:pPr>
      <w:keepNext/>
      <w:numPr>
        <w:ilvl w:val="2"/>
        <w:numId w:val="1"/>
      </w:numPr>
      <w:spacing w:before="240" w:after="60"/>
    </w:pPr>
    <w:rPr>
      <w:rFonts w:ascii="Montserrat" w:eastAsia="Montserrat" w:hAnsi="Montserrat" w:cs="Montserrat"/>
      <w:b/>
      <w:color w:val="000000"/>
      <w:sz w:val="20"/>
      <w:szCs w:val="22"/>
      <w:lang w:eastAsia="ko-KR"/>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93B26"/>
    <w:pPr>
      <w:tabs>
        <w:tab w:val="center" w:pos="4680"/>
        <w:tab w:val="right" w:pos="9360"/>
      </w:tabs>
    </w:pPr>
  </w:style>
  <w:style w:type="paragraph" w:styleId="Footer">
    <w:name w:val="footer"/>
    <w:basedOn w:val="Normal"/>
    <w:link w:val="FooterChar"/>
    <w:uiPriority w:val="99"/>
    <w:unhideWhenUsed/>
    <w:rsid w:val="00193B26"/>
    <w:pPr>
      <w:tabs>
        <w:tab w:val="center" w:pos="4680"/>
        <w:tab w:val="right" w:pos="9360"/>
      </w:tabs>
    </w:pPr>
  </w:style>
  <w:style w:type="paragraph" w:styleId="ListParagraph">
    <w:name w:val="List Paragraph"/>
    <w:basedOn w:val="Normal"/>
    <w:uiPriority w:val="34"/>
    <w:qFormat/>
    <w:rsid w:val="009129C9"/>
    <w:pPr>
      <w:ind w:left="720"/>
      <w:contextualSpacing/>
    </w:pPr>
  </w:style>
  <w:style w:type="paragraph" w:styleId="ListBullet">
    <w:name w:val="List Bullet"/>
    <w:basedOn w:val="Normal"/>
    <w:uiPriority w:val="99"/>
    <w:unhideWhenUsed/>
    <w:rsid w:val="007C3F9C"/>
    <w:pPr>
      <w:numPr>
        <w:numId w:val="13"/>
      </w:numPr>
      <w:contextualSpacing/>
    </w:pPr>
  </w:style>
  <w:style w:type="character" w:customStyle="1" w:styleId="BodyTextChar">
    <w:name w:val="Body Text Char"/>
    <w:basedOn w:val="DefaultParagraphFont"/>
    <w:link w:val="BodyText"/>
    <w:rsid w:val="007C3F9C"/>
  </w:style>
  <w:style w:type="paragraph" w:styleId="ListBullet2">
    <w:name w:val="List Bullet 2"/>
    <w:basedOn w:val="Normal"/>
    <w:uiPriority w:val="99"/>
    <w:unhideWhenUsed/>
    <w:rsid w:val="007C3F9C"/>
    <w:pPr>
      <w:numPr>
        <w:numId w:val="12"/>
      </w:numPr>
      <w:contextualSpacing/>
    </w:pPr>
  </w:style>
  <w:style w:type="paragraph" w:styleId="ListBullet4">
    <w:name w:val="List Bullet 4"/>
    <w:basedOn w:val="Normal"/>
    <w:uiPriority w:val="99"/>
    <w:unhideWhenUsed/>
    <w:rsid w:val="007C3F9C"/>
    <w:pPr>
      <w:numPr>
        <w:numId w:val="10"/>
      </w:numPr>
      <w:contextualSpacing/>
    </w:pPr>
  </w:style>
  <w:style w:type="paragraph" w:styleId="ListBullet5">
    <w:name w:val="List Bullet 5"/>
    <w:basedOn w:val="Normal"/>
    <w:uiPriority w:val="99"/>
    <w:unhideWhenUsed/>
    <w:rsid w:val="007C3F9C"/>
    <w:pPr>
      <w:numPr>
        <w:numId w:val="9"/>
      </w:numPr>
      <w:contextualSpacing/>
    </w:pPr>
  </w:style>
  <w:style w:type="paragraph" w:styleId="ListContinue">
    <w:name w:val="List Continue"/>
    <w:basedOn w:val="Normal"/>
    <w:uiPriority w:val="99"/>
    <w:unhideWhenUsed/>
    <w:rsid w:val="007C3F9C"/>
    <w:pPr>
      <w:spacing w:after="120"/>
      <w:ind w:left="360"/>
      <w:contextualSpacing/>
    </w:pPr>
  </w:style>
  <w:style w:type="paragraph" w:styleId="ListContinue2">
    <w:name w:val="List Continue 2"/>
    <w:basedOn w:val="Normal"/>
    <w:uiPriority w:val="99"/>
    <w:unhideWhenUsed/>
    <w:rsid w:val="007C3F9C"/>
    <w:pPr>
      <w:spacing w:after="120"/>
      <w:ind w:left="720"/>
      <w:contextualSpacing/>
    </w:pPr>
  </w:style>
  <w:style w:type="paragraph" w:styleId="ListContinue3">
    <w:name w:val="List Continue 3"/>
    <w:basedOn w:val="Normal"/>
    <w:uiPriority w:val="99"/>
    <w:unhideWhenUsed/>
    <w:rsid w:val="007C3F9C"/>
    <w:pPr>
      <w:spacing w:after="120"/>
      <w:ind w:left="1080"/>
      <w:contextualSpacing/>
    </w:pPr>
  </w:style>
  <w:style w:type="paragraph" w:styleId="ListContinue4">
    <w:name w:val="List Continue 4"/>
    <w:basedOn w:val="Normal"/>
    <w:uiPriority w:val="99"/>
    <w:unhideWhenUsed/>
    <w:rsid w:val="007C3F9C"/>
    <w:pPr>
      <w:spacing w:after="120"/>
      <w:ind w:left="1440"/>
      <w:contextualSpacing/>
    </w:pPr>
  </w:style>
  <w:style w:type="paragraph" w:styleId="ListContinue5">
    <w:name w:val="List Continue 5"/>
    <w:basedOn w:val="Normal"/>
    <w:uiPriority w:val="99"/>
    <w:unhideWhenUsed/>
    <w:rsid w:val="007C3F9C"/>
    <w:pPr>
      <w:spacing w:after="120"/>
      <w:ind w:left="1800"/>
      <w:contextualSpacing/>
    </w:pPr>
  </w:style>
  <w:style w:type="paragraph" w:styleId="ListNumber">
    <w:name w:val="List Number"/>
    <w:basedOn w:val="Normal"/>
    <w:uiPriority w:val="99"/>
    <w:unhideWhenUsed/>
    <w:rsid w:val="0022202F"/>
    <w:pPr>
      <w:numPr>
        <w:numId w:val="8"/>
      </w:numPr>
      <w:contextualSpacing/>
    </w:pPr>
  </w:style>
  <w:style w:type="paragraph" w:styleId="ListNumber2">
    <w:name w:val="List Number 2"/>
    <w:basedOn w:val="Normal"/>
    <w:uiPriority w:val="99"/>
    <w:unhideWhenUsed/>
    <w:rsid w:val="0022202F"/>
    <w:pPr>
      <w:numPr>
        <w:numId w:val="7"/>
      </w:numPr>
      <w:contextualSpacing/>
    </w:pPr>
  </w:style>
  <w:style w:type="paragraph" w:styleId="ListNumber3">
    <w:name w:val="List Number 3"/>
    <w:basedOn w:val="Normal"/>
    <w:uiPriority w:val="99"/>
    <w:unhideWhenUsed/>
    <w:rsid w:val="0022202F"/>
    <w:pPr>
      <w:numPr>
        <w:numId w:val="6"/>
      </w:numPr>
      <w:contextualSpacing/>
    </w:pPr>
  </w:style>
  <w:style w:type="paragraph" w:styleId="ListNumber4">
    <w:name w:val="List Number 4"/>
    <w:basedOn w:val="Normal"/>
    <w:uiPriority w:val="99"/>
    <w:unhideWhenUsed/>
    <w:rsid w:val="0022202F"/>
    <w:pPr>
      <w:numPr>
        <w:numId w:val="5"/>
      </w:numPr>
      <w:contextualSpacing/>
    </w:pPr>
  </w:style>
  <w:style w:type="paragraph" w:styleId="ListNumber5">
    <w:name w:val="List Number 5"/>
    <w:basedOn w:val="Normal"/>
    <w:uiPriority w:val="99"/>
    <w:unhideWhenUsed/>
    <w:rsid w:val="0022202F"/>
    <w:pPr>
      <w:numPr>
        <w:numId w:val="4"/>
      </w:numPr>
      <w:contextualSpacing/>
    </w:pPr>
  </w:style>
  <w:style w:type="paragraph" w:styleId="EndnoteText">
    <w:name w:val="endnote text"/>
    <w:basedOn w:val="Normal"/>
    <w:link w:val="EndnoteTextChar"/>
    <w:uiPriority w:val="99"/>
    <w:semiHidden/>
    <w:unhideWhenUsed/>
    <w:rsid w:val="00345122"/>
    <w:rPr>
      <w:sz w:val="20"/>
      <w:szCs w:val="20"/>
    </w:rPr>
  </w:style>
  <w:style w:type="character" w:customStyle="1" w:styleId="EndnoteTextChar">
    <w:name w:val="Endnote Text Char"/>
    <w:basedOn w:val="DefaultParagraphFont"/>
    <w:link w:val="EndnoteText"/>
    <w:uiPriority w:val="99"/>
    <w:semiHidden/>
    <w:rsid w:val="00345122"/>
    <w:rPr>
      <w:sz w:val="20"/>
      <w:szCs w:val="20"/>
    </w:rPr>
  </w:style>
  <w:style w:type="character" w:styleId="EndnoteReference">
    <w:name w:val="endnote reference"/>
    <w:basedOn w:val="DefaultParagraphFont"/>
    <w:uiPriority w:val="99"/>
    <w:semiHidden/>
    <w:unhideWhenUsed/>
    <w:rsid w:val="003451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5832">
      <w:bodyDiv w:val="1"/>
      <w:marLeft w:val="0"/>
      <w:marRight w:val="0"/>
      <w:marTop w:val="0"/>
      <w:marBottom w:val="0"/>
      <w:divBdr>
        <w:top w:val="none" w:sz="0" w:space="0" w:color="auto"/>
        <w:left w:val="none" w:sz="0" w:space="0" w:color="auto"/>
        <w:bottom w:val="none" w:sz="0" w:space="0" w:color="auto"/>
        <w:right w:val="none" w:sz="0" w:space="0" w:color="auto"/>
      </w:divBdr>
    </w:div>
    <w:div w:id="851575337">
      <w:bodyDiv w:val="1"/>
      <w:marLeft w:val="0"/>
      <w:marRight w:val="0"/>
      <w:marTop w:val="0"/>
      <w:marBottom w:val="0"/>
      <w:divBdr>
        <w:top w:val="none" w:sz="0" w:space="0" w:color="auto"/>
        <w:left w:val="none" w:sz="0" w:space="0" w:color="auto"/>
        <w:bottom w:val="none" w:sz="0" w:space="0" w:color="auto"/>
        <w:right w:val="none" w:sz="0" w:space="0" w:color="auto"/>
      </w:divBdr>
    </w:div>
    <w:div w:id="1006445631">
      <w:bodyDiv w:val="1"/>
      <w:marLeft w:val="0"/>
      <w:marRight w:val="0"/>
      <w:marTop w:val="0"/>
      <w:marBottom w:val="0"/>
      <w:divBdr>
        <w:top w:val="none" w:sz="0" w:space="0" w:color="auto"/>
        <w:left w:val="none" w:sz="0" w:space="0" w:color="auto"/>
        <w:bottom w:val="none" w:sz="0" w:space="0" w:color="auto"/>
        <w:right w:val="none" w:sz="0" w:space="0" w:color="auto"/>
      </w:divBdr>
    </w:div>
    <w:div w:id="1049305876">
      <w:bodyDiv w:val="1"/>
      <w:marLeft w:val="0"/>
      <w:marRight w:val="0"/>
      <w:marTop w:val="0"/>
      <w:marBottom w:val="0"/>
      <w:divBdr>
        <w:top w:val="none" w:sz="0" w:space="0" w:color="auto"/>
        <w:left w:val="none" w:sz="0" w:space="0" w:color="auto"/>
        <w:bottom w:val="none" w:sz="0" w:space="0" w:color="auto"/>
        <w:right w:val="none" w:sz="0" w:space="0" w:color="auto"/>
      </w:divBdr>
    </w:div>
    <w:div w:id="1069352199">
      <w:bodyDiv w:val="1"/>
      <w:marLeft w:val="0"/>
      <w:marRight w:val="0"/>
      <w:marTop w:val="0"/>
      <w:marBottom w:val="0"/>
      <w:divBdr>
        <w:top w:val="none" w:sz="0" w:space="0" w:color="auto"/>
        <w:left w:val="none" w:sz="0" w:space="0" w:color="auto"/>
        <w:bottom w:val="none" w:sz="0" w:space="0" w:color="auto"/>
        <w:right w:val="none" w:sz="0" w:space="0" w:color="auto"/>
      </w:divBdr>
    </w:div>
    <w:div w:id="1212645186">
      <w:bodyDiv w:val="1"/>
      <w:marLeft w:val="0"/>
      <w:marRight w:val="0"/>
      <w:marTop w:val="0"/>
      <w:marBottom w:val="0"/>
      <w:divBdr>
        <w:top w:val="none" w:sz="0" w:space="0" w:color="auto"/>
        <w:left w:val="none" w:sz="0" w:space="0" w:color="auto"/>
        <w:bottom w:val="none" w:sz="0" w:space="0" w:color="auto"/>
        <w:right w:val="none" w:sz="0" w:space="0" w:color="auto"/>
      </w:divBdr>
    </w:div>
    <w:div w:id="1515729568">
      <w:bodyDiv w:val="1"/>
      <w:marLeft w:val="0"/>
      <w:marRight w:val="0"/>
      <w:marTop w:val="0"/>
      <w:marBottom w:val="0"/>
      <w:divBdr>
        <w:top w:val="none" w:sz="0" w:space="0" w:color="auto"/>
        <w:left w:val="none" w:sz="0" w:space="0" w:color="auto"/>
        <w:bottom w:val="none" w:sz="0" w:space="0" w:color="auto"/>
        <w:right w:val="none" w:sz="0" w:space="0" w:color="auto"/>
      </w:divBdr>
    </w:div>
    <w:div w:id="1663851882">
      <w:bodyDiv w:val="1"/>
      <w:marLeft w:val="0"/>
      <w:marRight w:val="0"/>
      <w:marTop w:val="0"/>
      <w:marBottom w:val="0"/>
      <w:divBdr>
        <w:top w:val="none" w:sz="0" w:space="0" w:color="auto"/>
        <w:left w:val="none" w:sz="0" w:space="0" w:color="auto"/>
        <w:bottom w:val="none" w:sz="0" w:space="0" w:color="auto"/>
        <w:right w:val="none" w:sz="0" w:space="0" w:color="auto"/>
      </w:divBdr>
    </w:div>
    <w:div w:id="1669092867">
      <w:bodyDiv w:val="1"/>
      <w:marLeft w:val="0"/>
      <w:marRight w:val="0"/>
      <w:marTop w:val="0"/>
      <w:marBottom w:val="0"/>
      <w:divBdr>
        <w:top w:val="none" w:sz="0" w:space="0" w:color="auto"/>
        <w:left w:val="none" w:sz="0" w:space="0" w:color="auto"/>
        <w:bottom w:val="none" w:sz="0" w:space="0" w:color="auto"/>
        <w:right w:val="none" w:sz="0" w:space="0" w:color="auto"/>
      </w:divBdr>
    </w:div>
    <w:div w:id="1844855433">
      <w:bodyDiv w:val="1"/>
      <w:marLeft w:val="0"/>
      <w:marRight w:val="0"/>
      <w:marTop w:val="0"/>
      <w:marBottom w:val="0"/>
      <w:divBdr>
        <w:top w:val="none" w:sz="0" w:space="0" w:color="auto"/>
        <w:left w:val="none" w:sz="0" w:space="0" w:color="auto"/>
        <w:bottom w:val="none" w:sz="0" w:space="0" w:color="auto"/>
        <w:right w:val="none" w:sz="0" w:space="0" w:color="auto"/>
      </w:divBdr>
    </w:div>
    <w:div w:id="203006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D667E-4F75-4063-A7BD-57ACA10C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dc:description/>
  <cp:lastModifiedBy>Ashley Cader</cp:lastModifiedBy>
  <cp:revision>8</cp:revision>
  <cp:lastPrinted>2026-01-06T20:56:00Z</cp:lastPrinted>
  <dcterms:created xsi:type="dcterms:W3CDTF">2026-01-05T19:42:00Z</dcterms:created>
  <dcterms:modified xsi:type="dcterms:W3CDTF">2026-03-05T20:18:00Z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3f9b325508f3ddf0c7304c083de43ee2b5467fe3569f6b75676793718fcf942a</vt:lpwstr>
  </property>
</Properties>
</file>